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spacing w:line="240" w:lineRule="auto"/>
        <w:rPr>
          <w:rFonts w:ascii="Times New Roman" w:cs="Times New Roman" w:eastAsia="Times New Roman" w:hAnsi="Times New Roman"/>
          <w:b w:val="1"/>
          <w:sz w:val="2"/>
          <w:szCs w:val="2"/>
          <w:u w:val="single"/>
        </w:rPr>
      </w:pPr>
      <w:r w:rsidDel="00000000" w:rsidR="00000000" w:rsidRPr="00000000">
        <w:rPr>
          <w:rtl w:val="0"/>
        </w:rPr>
      </w:r>
    </w:p>
    <w:tbl>
      <w:tblPr>
        <w:tblStyle w:val="Table1"/>
        <w:tblW w:w="1179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20"/>
        <w:gridCol w:w="7870"/>
        <w:tblGridChange w:id="0">
          <w:tblGrid>
            <w:gridCol w:w="3920"/>
            <w:gridCol w:w="7870"/>
          </w:tblGrid>
        </w:tblGridChange>
      </w:tblGrid>
      <w:tr>
        <w:trPr>
          <w:cantSplit w:val="0"/>
          <w:trHeight w:val="440"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002">
            <w:pPr>
              <w:spacing w:line="240" w:lineRule="auto"/>
              <w:jc w:val="cente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Material Suggestions: BWB Read-a-thon</w:t>
            </w:r>
          </w:p>
          <w:p w:rsidR="00000000" w:rsidDel="00000000" w:rsidP="00000000" w:rsidRDefault="00000000" w:rsidRPr="00000000" w14:paraId="00000003">
            <w:pPr>
              <w:spacing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BWB has </w:t>
            </w:r>
            <w:r w:rsidDel="00000000" w:rsidR="00000000" w:rsidRPr="00000000">
              <w:rPr>
                <w:rFonts w:ascii="Times New Roman" w:cs="Times New Roman" w:eastAsia="Times New Roman" w:hAnsi="Times New Roman"/>
                <w:b w:val="1"/>
                <w:sz w:val="28"/>
                <w:szCs w:val="28"/>
                <w:u w:val="single"/>
                <w:rtl w:val="0"/>
              </w:rPr>
              <w:t xml:space="preserve">no</w:t>
            </w:r>
            <w:r w:rsidDel="00000000" w:rsidR="00000000" w:rsidRPr="00000000">
              <w:rPr>
                <w:rFonts w:ascii="Times New Roman" w:cs="Times New Roman" w:eastAsia="Times New Roman" w:hAnsi="Times New Roman"/>
                <w:sz w:val="28"/>
                <w:szCs w:val="28"/>
                <w:rtl w:val="0"/>
              </w:rPr>
              <w:t xml:space="preserve"> financial interests with any of these vendors and does not gain monetarily </w:t>
            </w:r>
          </w:p>
          <w:p w:rsidR="00000000" w:rsidDel="00000000" w:rsidP="00000000" w:rsidRDefault="00000000" w:rsidRPr="00000000" w14:paraId="00000004">
            <w:pPr>
              <w:spacing w:line="240" w:lineRule="auto"/>
              <w:jc w:val="center"/>
              <w:rPr>
                <w:rFonts w:ascii="Times New Roman" w:cs="Times New Roman" w:eastAsia="Times New Roman" w:hAnsi="Times New Roman"/>
                <w:b w:val="1"/>
                <w:sz w:val="28"/>
                <w:szCs w:val="28"/>
                <w:u w:val="single"/>
              </w:rPr>
            </w:pPr>
            <w:r w:rsidDel="00000000" w:rsidR="00000000" w:rsidRPr="00000000">
              <w:rPr>
                <w:rFonts w:ascii="Times New Roman" w:cs="Times New Roman" w:eastAsia="Times New Roman" w:hAnsi="Times New Roman"/>
                <w:sz w:val="28"/>
                <w:szCs w:val="28"/>
                <w:rtl w:val="0"/>
              </w:rPr>
              <w:t xml:space="preserve">or in any other way from the purchase of any of these items. </w:t>
            </w:r>
            <w:r w:rsidDel="00000000" w:rsidR="00000000" w:rsidRPr="00000000">
              <w:rPr>
                <w:rtl w:val="0"/>
              </w:rPr>
            </w:r>
          </w:p>
        </w:tc>
      </w:tr>
      <w:tr>
        <w:trPr>
          <w:cantSplit w:val="0"/>
          <w:trHeight w:val="1023"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006">
            <w:pPr>
              <w:spacing w:line="240" w:lineRule="auto"/>
              <w:ind w:right="600"/>
              <w:jc w:val="center"/>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i w:val="1"/>
                <w:color w:val="ff0000"/>
                <w:sz w:val="28"/>
                <w:szCs w:val="28"/>
                <w:rtl w:val="0"/>
              </w:rPr>
              <w:t xml:space="preserve">“I appreciated the light-hearted posters of Dr. Seuss around the unit. They caught my attention and I loved the cheerfulness it added to the very important work we do by encouraging reading to infants in the NICU.” </w:t>
            </w:r>
            <w:r w:rsidDel="00000000" w:rsidR="00000000" w:rsidRPr="00000000">
              <w:rPr>
                <w:rtl w:val="0"/>
              </w:rPr>
            </w:r>
          </w:p>
          <w:p w:rsidR="00000000" w:rsidDel="00000000" w:rsidP="00000000" w:rsidRDefault="00000000" w:rsidRPr="00000000" w14:paraId="00000007">
            <w:pPr>
              <w:spacing w:line="240" w:lineRule="auto"/>
              <w:ind w:right="600"/>
              <w:jc w:val="center"/>
              <w:rPr>
                <w:rFonts w:ascii="Times New Roman" w:cs="Times New Roman" w:eastAsia="Times New Roman" w:hAnsi="Times New Roman"/>
                <w:b w:val="1"/>
                <w:color w:val="ff0000"/>
                <w:sz w:val="8"/>
                <w:szCs w:val="8"/>
              </w:rPr>
            </w:pPr>
            <w:r w:rsidDel="00000000" w:rsidR="00000000" w:rsidRPr="00000000">
              <w:rPr>
                <w:rtl w:val="0"/>
              </w:rPr>
            </w:r>
          </w:p>
          <w:p w:rsidR="00000000" w:rsidDel="00000000" w:rsidP="00000000" w:rsidRDefault="00000000" w:rsidRPr="00000000" w14:paraId="00000008">
            <w:pPr>
              <w:numPr>
                <w:ilvl w:val="0"/>
                <w:numId w:val="1"/>
              </w:numPr>
              <w:spacing w:line="240" w:lineRule="auto"/>
              <w:ind w:left="720" w:right="600" w:hanging="360"/>
              <w:jc w:val="center"/>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color w:val="ff0000"/>
                <w:sz w:val="28"/>
                <w:szCs w:val="28"/>
                <w:rtl w:val="0"/>
              </w:rPr>
              <w:t xml:space="preserve">NICU Nurse</w:t>
            </w:r>
          </w:p>
          <w:p w:rsidR="00000000" w:rsidDel="00000000" w:rsidP="00000000" w:rsidRDefault="00000000" w:rsidRPr="00000000" w14:paraId="00000009">
            <w:pPr>
              <w:widowControl w:val="0"/>
              <w:spacing w:line="240" w:lineRule="auto"/>
              <w:jc w:val="center"/>
              <w:rPr>
                <w:rFonts w:ascii="Times New Roman" w:cs="Times New Roman" w:eastAsia="Times New Roman" w:hAnsi="Times New Roman"/>
                <w:b w:val="1"/>
                <w:sz w:val="8"/>
                <w:szCs w:val="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Item </w:t>
            </w:r>
            <w:r w:rsidDel="00000000" w:rsidR="00000000" w:rsidRPr="00000000">
              <w:rPr>
                <w:rFonts w:ascii="Times New Roman" w:cs="Times New Roman" w:eastAsia="Times New Roman" w:hAnsi="Times New Roman"/>
                <w:sz w:val="24"/>
                <w:szCs w:val="24"/>
                <w:rtl w:val="0"/>
              </w:rPr>
              <w:t xml:space="preserve">(click text for purchase link)</w:t>
            </w:r>
          </w:p>
        </w:tc>
        <w:tc>
          <w:tcPr>
            <w:shd w:fill="auto" w:val="clear"/>
            <w:tcMar>
              <w:top w:w="100.0" w:type="dxa"/>
              <w:left w:w="100.0" w:type="dxa"/>
              <w:bottom w:w="100.0" w:type="dxa"/>
              <w:right w:w="100.0" w:type="dxa"/>
            </w:tcMar>
          </w:tcPr>
          <w:p w:rsidR="00000000" w:rsidDel="00000000" w:rsidP="00000000" w:rsidRDefault="00000000" w:rsidRPr="00000000" w14:paraId="0000000C">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Description &amp; Purpose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D">
            <w:pPr>
              <w:widowControl w:val="0"/>
              <w:spacing w:line="240" w:lineRule="auto"/>
              <w:jc w:val="center"/>
              <w:rPr>
                <w:rFonts w:ascii="Times New Roman" w:cs="Times New Roman" w:eastAsia="Times New Roman" w:hAnsi="Times New Roman"/>
                <w:sz w:val="24"/>
                <w:szCs w:val="24"/>
              </w:rPr>
            </w:pPr>
            <w:hyperlink r:id="rId7">
              <w:r w:rsidDel="00000000" w:rsidR="00000000" w:rsidRPr="00000000">
                <w:rPr>
                  <w:rFonts w:ascii="Times New Roman" w:cs="Times New Roman" w:eastAsia="Times New Roman" w:hAnsi="Times New Roman"/>
                  <w:color w:val="1155cc"/>
                  <w:sz w:val="24"/>
                  <w:szCs w:val="24"/>
                  <w:u w:val="single"/>
                  <w:rtl w:val="0"/>
                </w:rPr>
                <w:t xml:space="preserve">Raffle Ticket Box</w:t>
              </w:r>
            </w:hyperlink>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0E">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We recommend using the raffle ticket method to track NICU reading. These inexpensive, easily assembled boxes can be labeled and decorated. We used red electrical tape to cover our cardboard box and cut a hole in the box top for securely storing submitted tickets.</w:t>
            </w:r>
          </w:p>
          <w:p w:rsidR="00000000" w:rsidDel="00000000" w:rsidP="00000000" w:rsidRDefault="00000000" w:rsidRPr="00000000" w14:paraId="0000000F">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3000375" cy="1853890"/>
                  <wp:effectExtent b="0" l="0" r="0" t="0"/>
                  <wp:docPr id="32" name="image1.jpg"/>
                  <a:graphic>
                    <a:graphicData uri="http://schemas.openxmlformats.org/drawingml/2006/picture">
                      <pic:pic>
                        <pic:nvPicPr>
                          <pic:cNvPr id="0" name="image1.jpg"/>
                          <pic:cNvPicPr preferRelativeResize="0"/>
                        </pic:nvPicPr>
                        <pic:blipFill>
                          <a:blip r:embed="rId8"/>
                          <a:srcRect b="16311" l="8744" r="13901" t="8510"/>
                          <a:stretch>
                            <a:fillRect/>
                          </a:stretch>
                        </pic:blipFill>
                        <pic:spPr>
                          <a:xfrm>
                            <a:off x="0" y="0"/>
                            <a:ext cx="3000375" cy="1853890"/>
                          </a:xfrm>
                          <a:prstGeom prst="rect"/>
                          <a:ln/>
                        </pic:spPr>
                      </pic:pic>
                    </a:graphicData>
                  </a:graphic>
                </wp:inline>
              </w:drawing>
            </w:r>
            <w:r w:rsidDel="00000000" w:rsidR="00000000" w:rsidRPr="00000000">
              <w:rPr>
                <w:rtl w:val="0"/>
              </w:rPr>
            </w:r>
          </w:p>
        </w:tc>
      </w:tr>
      <w:tr>
        <w:trPr>
          <w:cantSplit w:val="0"/>
          <w:trHeight w:val="381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10">
            <w:pPr>
              <w:spacing w:line="240" w:lineRule="auto"/>
              <w:jc w:val="center"/>
              <w:rPr>
                <w:rFonts w:ascii="Times New Roman" w:cs="Times New Roman" w:eastAsia="Times New Roman" w:hAnsi="Times New Roman"/>
                <w:sz w:val="24"/>
                <w:szCs w:val="24"/>
              </w:rPr>
            </w:pPr>
            <w:hyperlink r:id="rId9">
              <w:r w:rsidDel="00000000" w:rsidR="00000000" w:rsidRPr="00000000">
                <w:rPr>
                  <w:rFonts w:ascii="Times New Roman" w:cs="Times New Roman" w:eastAsia="Times New Roman" w:hAnsi="Times New Roman"/>
                  <w:color w:val="1155cc"/>
                  <w:sz w:val="24"/>
                  <w:szCs w:val="24"/>
                  <w:u w:val="single"/>
                  <w:rtl w:val="0"/>
                </w:rPr>
                <w:t xml:space="preserve">Wrapping Paper</w:t>
              </w:r>
            </w:hyperlink>
            <w:r w:rsidDel="00000000" w:rsidR="00000000" w:rsidRPr="00000000">
              <w:rPr>
                <w:rFonts w:ascii="Times New Roman" w:cs="Times New Roman" w:eastAsia="Times New Roman" w:hAnsi="Times New Roman"/>
                <w:sz w:val="24"/>
                <w:szCs w:val="24"/>
                <w:rtl w:val="0"/>
              </w:rPr>
              <w:t xml:space="preserve"> </w:t>
            </w:r>
          </w:p>
        </w:tc>
        <w:tc>
          <w:tcPr>
            <w:shd w:fill="auto" w:val="clear"/>
            <w:tcMar>
              <w:top w:w="100.0" w:type="dxa"/>
              <w:left w:w="100.0" w:type="dxa"/>
              <w:bottom w:w="100.0" w:type="dxa"/>
              <w:right w:w="100.0" w:type="dxa"/>
            </w:tcMar>
          </w:tcPr>
          <w:p w:rsidR="00000000" w:rsidDel="00000000" w:rsidP="00000000" w:rsidRDefault="00000000" w:rsidRPr="00000000" w14:paraId="00000011">
            <w:pPr>
              <w:widowControl w:val="0"/>
              <w:shd w:fill="ffffff" w:val="clear"/>
              <w:spacing w:before="100" w:line="342" w:lineRule="auto"/>
              <w:jc w:val="center"/>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0"/>
                <w:szCs w:val="20"/>
                <w:highlight w:val="white"/>
                <w:rtl w:val="0"/>
              </w:rPr>
              <w:t xml:space="preserve">This wrapping paper can be used to decorate reading ticket boxes.</w:t>
            </w:r>
            <w:r w:rsidDel="00000000" w:rsidR="00000000" w:rsidRPr="00000000">
              <w:rPr>
                <w:rtl w:val="0"/>
              </w:rPr>
            </w:r>
          </w:p>
          <w:p w:rsidR="00000000" w:rsidDel="00000000" w:rsidP="00000000" w:rsidRDefault="00000000" w:rsidRPr="00000000" w14:paraId="00000012">
            <w:pPr>
              <w:widowControl w:val="0"/>
              <w:spacing w:line="240" w:lineRule="auto"/>
              <w:jc w:val="center"/>
              <w:rPr>
                <w:rFonts w:ascii="Times New Roman" w:cs="Times New Roman" w:eastAsia="Times New Roman" w:hAnsi="Times New Roman"/>
                <w:sz w:val="20"/>
                <w:szCs w:val="20"/>
                <w:highlight w:val="white"/>
              </w:rPr>
            </w:pPr>
            <w:r w:rsidDel="00000000" w:rsidR="00000000" w:rsidRPr="00000000">
              <w:rPr>
                <w:rFonts w:ascii="Times New Roman" w:cs="Times New Roman" w:eastAsia="Times New Roman" w:hAnsi="Times New Roman"/>
                <w:sz w:val="20"/>
                <w:szCs w:val="20"/>
                <w:highlight w:val="white"/>
              </w:rPr>
              <w:drawing>
                <wp:inline distB="114300" distT="114300" distL="114300" distR="114300">
                  <wp:extent cx="1632333" cy="1495354"/>
                  <wp:effectExtent b="0" l="0" r="0" t="0"/>
                  <wp:docPr id="34" name="image9.png"/>
                  <a:graphic>
                    <a:graphicData uri="http://schemas.openxmlformats.org/drawingml/2006/picture">
                      <pic:pic>
                        <pic:nvPicPr>
                          <pic:cNvPr id="0" name="image9.png"/>
                          <pic:cNvPicPr preferRelativeResize="0"/>
                        </pic:nvPicPr>
                        <pic:blipFill>
                          <a:blip r:embed="rId10"/>
                          <a:srcRect b="0" l="3694" r="0" t="8571"/>
                          <a:stretch>
                            <a:fillRect/>
                          </a:stretch>
                        </pic:blipFill>
                        <pic:spPr>
                          <a:xfrm>
                            <a:off x="0" y="0"/>
                            <a:ext cx="1632333" cy="1495354"/>
                          </a:xfrm>
                          <a:prstGeom prst="rect"/>
                          <a:ln/>
                        </pic:spPr>
                      </pic:pic>
                    </a:graphicData>
                  </a:graphic>
                </wp:inline>
              </w:drawing>
            </w:r>
            <w:r w:rsidDel="00000000" w:rsidR="00000000" w:rsidRPr="00000000">
              <w:rPr>
                <w:rtl w:val="0"/>
              </w:rPr>
            </w:r>
          </w:p>
        </w:tc>
      </w:tr>
      <w:tr>
        <w:trPr>
          <w:cantSplit w:val="0"/>
          <w:trHeight w:val="49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13">
            <w:pPr>
              <w:widowControl w:val="0"/>
              <w:spacing w:line="240" w:lineRule="auto"/>
              <w:jc w:val="center"/>
              <w:rPr>
                <w:rFonts w:ascii="Times New Roman" w:cs="Times New Roman" w:eastAsia="Times New Roman" w:hAnsi="Times New Roman"/>
                <w:sz w:val="24"/>
                <w:szCs w:val="24"/>
              </w:rPr>
            </w:pPr>
            <w:hyperlink r:id="rId11">
              <w:r w:rsidDel="00000000" w:rsidR="00000000" w:rsidRPr="00000000">
                <w:rPr>
                  <w:rFonts w:ascii="Times New Roman" w:cs="Times New Roman" w:eastAsia="Times New Roman" w:hAnsi="Times New Roman"/>
                  <w:color w:val="1155cc"/>
                  <w:sz w:val="24"/>
                  <w:szCs w:val="24"/>
                  <w:u w:val="single"/>
                  <w:rtl w:val="0"/>
                </w:rPr>
                <w:t xml:space="preserve">Disposable Paper Cups</w:t>
              </w:r>
            </w:hyperlink>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14">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If collecting raffle tickets in cups in family rooms, we recommend using disposable paper cups. This product is an easy, eco-friendly, and inexpensive option.</w:t>
            </w:r>
          </w:p>
          <w:p w:rsidR="00000000" w:rsidDel="00000000" w:rsidP="00000000" w:rsidRDefault="00000000" w:rsidRPr="00000000" w14:paraId="00000015">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860489" cy="1019000"/>
                  <wp:effectExtent b="0" l="0" r="0" t="0"/>
                  <wp:docPr id="33"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860489" cy="1019000"/>
                          </a:xfrm>
                          <a:prstGeom prst="rect"/>
                          <a:ln/>
                        </pic:spPr>
                      </pic:pic>
                    </a:graphicData>
                  </a:graphic>
                </wp:inline>
              </w:drawing>
            </w:r>
            <w:r w:rsidDel="00000000" w:rsidR="00000000" w:rsidRPr="00000000">
              <w:rPr>
                <w:rtl w:val="0"/>
              </w:rPr>
            </w:r>
          </w:p>
        </w:tc>
      </w:tr>
      <w:tr>
        <w:trPr>
          <w:cantSplit w:val="0"/>
          <w:trHeight w:val="390"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016">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Decorations (optional)</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8">
            <w:pPr>
              <w:widowControl w:val="0"/>
              <w:spacing w:line="240" w:lineRule="auto"/>
              <w:jc w:val="center"/>
              <w:rPr>
                <w:rFonts w:ascii="Times New Roman" w:cs="Times New Roman" w:eastAsia="Times New Roman" w:hAnsi="Times New Roman"/>
                <w:sz w:val="24"/>
                <w:szCs w:val="24"/>
              </w:rPr>
            </w:pPr>
            <w:hyperlink r:id="rId13">
              <w:r w:rsidDel="00000000" w:rsidR="00000000" w:rsidRPr="00000000">
                <w:rPr>
                  <w:rFonts w:ascii="Times New Roman" w:cs="Times New Roman" w:eastAsia="Times New Roman" w:hAnsi="Times New Roman"/>
                  <w:color w:val="1155cc"/>
                  <w:sz w:val="24"/>
                  <w:szCs w:val="24"/>
                  <w:u w:val="single"/>
                  <w:rtl w:val="0"/>
                </w:rPr>
                <w:t xml:space="preserve">Dr. Suess store</w:t>
              </w:r>
            </w:hyperlink>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19">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This store has a large variety of Dr. Seuss reading promotion products.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A">
            <w:pPr>
              <w:widowControl w:val="0"/>
              <w:spacing w:line="240" w:lineRule="auto"/>
              <w:jc w:val="center"/>
              <w:rPr>
                <w:rFonts w:ascii="Times New Roman" w:cs="Times New Roman" w:eastAsia="Times New Roman" w:hAnsi="Times New Roman"/>
                <w:sz w:val="24"/>
                <w:szCs w:val="24"/>
              </w:rPr>
            </w:pPr>
            <w:hyperlink r:id="rId14">
              <w:r w:rsidDel="00000000" w:rsidR="00000000" w:rsidRPr="00000000">
                <w:rPr>
                  <w:rFonts w:ascii="Times New Roman" w:cs="Times New Roman" w:eastAsia="Times New Roman" w:hAnsi="Times New Roman"/>
                  <w:color w:val="1155cc"/>
                  <w:sz w:val="24"/>
                  <w:szCs w:val="24"/>
                  <w:u w:val="single"/>
                  <w:rtl w:val="0"/>
                </w:rPr>
                <w:t xml:space="preserve">Dr Seuss Read Every Day Poster (top left)</w:t>
              </w:r>
            </w:hyperlink>
            <w:r w:rsidDel="00000000" w:rsidR="00000000" w:rsidRPr="00000000">
              <w:rPr>
                <w:rFonts w:ascii="Times New Roman" w:cs="Times New Roman" w:eastAsia="Times New Roman" w:hAnsi="Times New Roman"/>
                <w:sz w:val="24"/>
                <w:szCs w:val="24"/>
                <w:rtl w:val="0"/>
              </w:rPr>
              <w:t xml:space="preserve">, </w:t>
            </w:r>
            <w:hyperlink r:id="rId15">
              <w:r w:rsidDel="00000000" w:rsidR="00000000" w:rsidRPr="00000000">
                <w:rPr>
                  <w:rFonts w:ascii="Times New Roman" w:cs="Times New Roman" w:eastAsia="Times New Roman" w:hAnsi="Times New Roman"/>
                  <w:color w:val="1155cc"/>
                  <w:sz w:val="24"/>
                  <w:szCs w:val="24"/>
                  <w:u w:val="single"/>
                  <w:rtl w:val="0"/>
                </w:rPr>
                <w:t xml:space="preserve">The More You Read Dr. Seuss Wall Sticker (top right), </w:t>
              </w:r>
            </w:hyperlink>
            <w:hyperlink r:id="rId16">
              <w:r w:rsidDel="00000000" w:rsidR="00000000" w:rsidRPr="00000000">
                <w:rPr>
                  <w:rFonts w:ascii="Times New Roman" w:cs="Times New Roman" w:eastAsia="Times New Roman" w:hAnsi="Times New Roman"/>
                  <w:color w:val="1155cc"/>
                  <w:sz w:val="24"/>
                  <w:szCs w:val="24"/>
                  <w:u w:val="single"/>
                  <w:rtl w:val="0"/>
                </w:rPr>
                <w:t xml:space="preserve">Dr. Seuss Reading Door Decorating Kit (middle)</w:t>
              </w:r>
            </w:hyperlink>
            <w:r w:rsidDel="00000000" w:rsidR="00000000" w:rsidRPr="00000000">
              <w:rPr>
                <w:rFonts w:ascii="Times New Roman" w:cs="Times New Roman" w:eastAsia="Times New Roman" w:hAnsi="Times New Roman"/>
                <w:sz w:val="24"/>
                <w:szCs w:val="24"/>
                <w:rtl w:val="0"/>
              </w:rPr>
              <w:t xml:space="preserve">, and </w:t>
            </w:r>
            <w:hyperlink r:id="rId17">
              <w:r w:rsidDel="00000000" w:rsidR="00000000" w:rsidRPr="00000000">
                <w:rPr>
                  <w:rFonts w:ascii="Times New Roman" w:cs="Times New Roman" w:eastAsia="Times New Roman" w:hAnsi="Times New Roman"/>
                  <w:color w:val="1155cc"/>
                  <w:sz w:val="24"/>
                  <w:szCs w:val="24"/>
                  <w:u w:val="single"/>
                  <w:rtl w:val="0"/>
                </w:rPr>
                <w:t xml:space="preserve">Oh, The Places You’ll Go Banner (bottom)</w:t>
              </w:r>
            </w:hyperlink>
            <w:r w:rsidDel="00000000" w:rsidR="00000000" w:rsidRPr="00000000">
              <w:rPr>
                <w:rFonts w:ascii="Times New Roman" w:cs="Times New Roman" w:eastAsia="Times New Roman" w:hAnsi="Times New Roman"/>
                <w:sz w:val="24"/>
                <w:szCs w:val="24"/>
                <w:rtl w:val="0"/>
              </w:rPr>
              <w:t xml:space="preserve">.</w:t>
            </w:r>
          </w:p>
        </w:tc>
        <w:tc>
          <w:tcPr>
            <w:shd w:fill="auto" w:val="clear"/>
            <w:tcMar>
              <w:top w:w="100.0" w:type="dxa"/>
              <w:left w:w="100.0" w:type="dxa"/>
              <w:bottom w:w="100.0" w:type="dxa"/>
              <w:right w:w="100.0" w:type="dxa"/>
            </w:tcMar>
          </w:tcPr>
          <w:p w:rsidR="00000000" w:rsidDel="00000000" w:rsidP="00000000" w:rsidRDefault="00000000" w:rsidRPr="00000000" w14:paraId="0000001B">
            <w:pPr>
              <w:widowControl w:val="0"/>
              <w:spacing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1433546" cy="2017582"/>
                  <wp:effectExtent b="0" l="0" r="0" t="0"/>
                  <wp:docPr id="36"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1433546" cy="2017582"/>
                          </a:xfrm>
                          <a:prstGeom prst="rect"/>
                          <a:ln/>
                        </pic:spPr>
                      </pic:pic>
                    </a:graphicData>
                  </a:graphic>
                </wp:inline>
              </w:drawing>
            </w:r>
            <w:r w:rsidDel="00000000" w:rsidR="00000000" w:rsidRPr="00000000">
              <w:rPr>
                <w:rFonts w:ascii="Times New Roman" w:cs="Times New Roman" w:eastAsia="Times New Roman" w:hAnsi="Times New Roman"/>
                <w:sz w:val="20"/>
                <w:szCs w:val="20"/>
              </w:rPr>
              <w:drawing>
                <wp:inline distB="114300" distT="114300" distL="114300" distR="114300">
                  <wp:extent cx="1264946" cy="1994497"/>
                  <wp:effectExtent b="0" l="0" r="0" t="0"/>
                  <wp:docPr id="35"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1264946" cy="1994497"/>
                          </a:xfrm>
                          <a:prstGeom prst="rect"/>
                          <a:ln/>
                        </pic:spPr>
                      </pic:pic>
                    </a:graphicData>
                  </a:graphic>
                </wp:inline>
              </w:drawing>
            </w:r>
            <w:r w:rsidDel="00000000" w:rsidR="00000000" w:rsidRPr="00000000">
              <w:rPr>
                <w:rFonts w:ascii="Times New Roman" w:cs="Times New Roman" w:eastAsia="Times New Roman" w:hAnsi="Times New Roman"/>
                <w:sz w:val="20"/>
                <w:szCs w:val="20"/>
              </w:rPr>
              <w:drawing>
                <wp:inline distB="114300" distT="114300" distL="114300" distR="114300">
                  <wp:extent cx="1675811" cy="1664450"/>
                  <wp:effectExtent b="0" l="0" r="0" t="0"/>
                  <wp:docPr id="38"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1675811" cy="1664450"/>
                          </a:xfrm>
                          <a:prstGeom prst="rect"/>
                          <a:ln/>
                        </pic:spPr>
                      </pic:pic>
                    </a:graphicData>
                  </a:graphic>
                </wp:inline>
              </w:drawing>
            </w:r>
            <w:r w:rsidDel="00000000" w:rsidR="00000000" w:rsidRPr="00000000">
              <w:rPr>
                <w:rFonts w:ascii="Times New Roman" w:cs="Times New Roman" w:eastAsia="Times New Roman" w:hAnsi="Times New Roman"/>
                <w:sz w:val="20"/>
                <w:szCs w:val="20"/>
              </w:rPr>
              <w:drawing>
                <wp:inline distB="114300" distT="114300" distL="114300" distR="114300">
                  <wp:extent cx="3029667" cy="1036923"/>
                  <wp:effectExtent b="0" l="0" r="0" t="0"/>
                  <wp:docPr id="37"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3029667" cy="1036923"/>
                          </a:xfrm>
                          <a:prstGeom prst="rect"/>
                          <a:ln/>
                        </pic:spPr>
                      </pic:pic>
                    </a:graphicData>
                  </a:graphic>
                </wp:inline>
              </w:drawing>
            </w:r>
            <w:r w:rsidDel="00000000" w:rsidR="00000000" w:rsidRPr="00000000">
              <w:rPr>
                <w:rtl w:val="0"/>
              </w:rPr>
            </w:r>
          </w:p>
        </w:tc>
      </w:tr>
      <w:tr>
        <w:trPr>
          <w:cantSplit w:val="0"/>
          <w:trHeight w:val="510"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01C">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Suggested Read-a-thon Prizes for Within Your Hospital (optional)</w:t>
            </w:r>
          </w:p>
        </w:tc>
      </w:tr>
      <w:tr>
        <w:trPr>
          <w:cantSplit w:val="0"/>
          <w:trHeight w:val="44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1E">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See files in “Bookmark” subfolder in “Resources” folder</w:t>
            </w:r>
          </w:p>
        </w:tc>
        <w:tc>
          <w:tcPr>
            <w:shd w:fill="auto" w:val="clear"/>
            <w:tcMar>
              <w:top w:w="100.0" w:type="dxa"/>
              <w:left w:w="100.0" w:type="dxa"/>
              <w:bottom w:w="100.0" w:type="dxa"/>
              <w:right w:w="100.0" w:type="dxa"/>
            </w:tcMar>
          </w:tcPr>
          <w:p w:rsidR="00000000" w:rsidDel="00000000" w:rsidP="00000000" w:rsidRDefault="00000000" w:rsidRPr="00000000" w14:paraId="0000001F">
            <w:pPr>
              <w:widowControl w:val="0"/>
              <w:spacing w:line="240" w:lineRule="auto"/>
              <w:jc w:val="center"/>
              <w:rPr>
                <w:rFonts w:ascii="Times New Roman" w:cs="Times New Roman" w:eastAsia="Times New Roman" w:hAnsi="Times New Roman"/>
                <w:sz w:val="20"/>
                <w:szCs w:val="20"/>
                <w:highlight w:val="white"/>
              </w:rPr>
            </w:pPr>
            <w:r w:rsidDel="00000000" w:rsidR="00000000" w:rsidRPr="00000000">
              <w:rPr>
                <w:rFonts w:ascii="Times New Roman" w:cs="Times New Roman" w:eastAsia="Times New Roman" w:hAnsi="Times New Roman"/>
                <w:sz w:val="20"/>
                <w:szCs w:val="20"/>
                <w:highlight w:val="white"/>
              </w:rPr>
              <w:drawing>
                <wp:inline distB="114300" distT="114300" distL="114300" distR="114300">
                  <wp:extent cx="658527" cy="2068872"/>
                  <wp:effectExtent b="0" l="0" r="0" t="0"/>
                  <wp:docPr id="40" name="image4.png"/>
                  <a:graphic>
                    <a:graphicData uri="http://schemas.openxmlformats.org/drawingml/2006/picture">
                      <pic:pic>
                        <pic:nvPicPr>
                          <pic:cNvPr id="0" name="image4.png"/>
                          <pic:cNvPicPr preferRelativeResize="0"/>
                        </pic:nvPicPr>
                        <pic:blipFill>
                          <a:blip r:embed="rId22"/>
                          <a:srcRect b="0" l="0" r="0" t="0"/>
                          <a:stretch>
                            <a:fillRect/>
                          </a:stretch>
                        </pic:blipFill>
                        <pic:spPr>
                          <a:xfrm>
                            <a:off x="0" y="0"/>
                            <a:ext cx="658527" cy="2068872"/>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20">
            <w:pPr>
              <w:widowControl w:val="0"/>
              <w:spacing w:line="240" w:lineRule="auto"/>
              <w:jc w:val="center"/>
              <w:rPr>
                <w:rFonts w:ascii="Times New Roman" w:cs="Times New Roman" w:eastAsia="Times New Roman" w:hAnsi="Times New Roman"/>
                <w:sz w:val="24"/>
                <w:szCs w:val="24"/>
              </w:rPr>
            </w:pPr>
            <w:hyperlink r:id="rId23">
              <w:r w:rsidDel="00000000" w:rsidR="00000000" w:rsidRPr="00000000">
                <w:rPr>
                  <w:rFonts w:ascii="Times New Roman" w:cs="Times New Roman" w:eastAsia="Times New Roman" w:hAnsi="Times New Roman"/>
                  <w:color w:val="1155cc"/>
                  <w:sz w:val="24"/>
                  <w:szCs w:val="24"/>
                  <w:u w:val="single"/>
                  <w:rtl w:val="0"/>
                </w:rPr>
                <w:t xml:space="preserve">Basket for book bundle</w:t>
              </w:r>
            </w:hyperlink>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1">
            <w:pPr>
              <w:widowControl w:val="0"/>
              <w:spacing w:line="240" w:lineRule="auto"/>
              <w:jc w:val="center"/>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Consider assembling book baskets as prizes in a competition within your hospital if you choose to organize one</w:t>
            </w:r>
          </w:p>
          <w:p w:rsidR="00000000" w:rsidDel="00000000" w:rsidP="00000000" w:rsidRDefault="00000000" w:rsidRPr="00000000" w14:paraId="00000022">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2295525" cy="1951661"/>
                  <wp:effectExtent b="0" l="0" r="0" t="0"/>
                  <wp:docPr id="39" name="image5.jpg"/>
                  <a:graphic>
                    <a:graphicData uri="http://schemas.openxmlformats.org/drawingml/2006/picture">
                      <pic:pic>
                        <pic:nvPicPr>
                          <pic:cNvPr id="0" name="image5.jpg"/>
                          <pic:cNvPicPr preferRelativeResize="0"/>
                        </pic:nvPicPr>
                        <pic:blipFill>
                          <a:blip r:embed="rId24"/>
                          <a:srcRect b="6664" l="9383" r="13487" t="5488"/>
                          <a:stretch>
                            <a:fillRect/>
                          </a:stretch>
                        </pic:blipFill>
                        <pic:spPr>
                          <a:xfrm>
                            <a:off x="0" y="0"/>
                            <a:ext cx="2295525" cy="195166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3">
      <w:pPr>
        <w:spacing w:line="240" w:lineRule="auto"/>
        <w:rPr>
          <w:rFonts w:ascii="Times New Roman" w:cs="Times New Roman" w:eastAsia="Times New Roman" w:hAnsi="Times New Roman"/>
        </w:rPr>
      </w:pPr>
      <w:r w:rsidDel="00000000" w:rsidR="00000000" w:rsidRPr="00000000">
        <w:rPr>
          <w:rtl w:val="0"/>
        </w:rPr>
      </w:r>
    </w:p>
    <w:sectPr>
      <w:headerReference r:id="rId25" w:type="default"/>
      <w:headerReference r:id="rId26" w:type="first"/>
      <w:headerReference r:id="rId27" w:type="even"/>
      <w:footerReference r:id="rId28" w:type="default"/>
      <w:footerReference r:id="rId29" w:type="first"/>
      <w:footerReference r:id="rId30" w:type="even"/>
      <w:pgSz w:h="15840" w:w="12240" w:orient="portrait"/>
      <w:pgMar w:bottom="360" w:top="360" w:left="360" w:right="36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8">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4">
    <w:pPr>
      <w:jc w:val="center"/>
      <w:rPr>
        <w:color w:val="000000"/>
      </w:rPr>
    </w:pPr>
    <w:r w:rsidDel="00000000" w:rsidR="00000000" w:rsidRPr="00000000">
      <w:rPr/>
      <w:drawing>
        <wp:inline distB="19050" distT="19050" distL="19050" distR="19050">
          <wp:extent cx="790341" cy="909638"/>
          <wp:effectExtent b="0" l="0" r="0" t="0"/>
          <wp:docPr id="41" name="image10.png"/>
          <a:graphic>
            <a:graphicData uri="http://schemas.openxmlformats.org/drawingml/2006/picture">
              <pic:pic>
                <pic:nvPicPr>
                  <pic:cNvPr id="0" name="image10.png"/>
                  <pic:cNvPicPr preferRelativeResize="0"/>
                </pic:nvPicPr>
                <pic:blipFill>
                  <a:blip r:embed="rId1"/>
                  <a:srcRect b="0" l="0" r="0" t="0"/>
                  <a:stretch>
                    <a:fillRect/>
                  </a:stretch>
                </pic:blipFill>
                <pic:spPr>
                  <a:xfrm>
                    <a:off x="0" y="0"/>
                    <a:ext cx="790341" cy="909638"/>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5">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semiHidden w:val="1"/>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paragraph" w:styleId="Header">
    <w:name w:val="header"/>
    <w:basedOn w:val="Normal"/>
    <w:link w:val="HeaderChar"/>
    <w:uiPriority w:val="99"/>
    <w:unhideWhenUsed w:val="1"/>
    <w:rsid w:val="003E0F40"/>
    <w:pPr>
      <w:tabs>
        <w:tab w:val="center" w:pos="4680"/>
        <w:tab w:val="right" w:pos="9360"/>
      </w:tabs>
      <w:spacing w:line="240" w:lineRule="auto"/>
    </w:pPr>
  </w:style>
  <w:style w:type="character" w:styleId="HeaderChar" w:customStyle="1">
    <w:name w:val="Header Char"/>
    <w:basedOn w:val="DefaultParagraphFont"/>
    <w:link w:val="Header"/>
    <w:uiPriority w:val="99"/>
    <w:rsid w:val="003E0F40"/>
  </w:style>
  <w:style w:type="paragraph" w:styleId="Footer">
    <w:name w:val="footer"/>
    <w:basedOn w:val="Normal"/>
    <w:link w:val="FooterChar"/>
    <w:uiPriority w:val="99"/>
    <w:unhideWhenUsed w:val="1"/>
    <w:rsid w:val="003E0F40"/>
    <w:pPr>
      <w:tabs>
        <w:tab w:val="center" w:pos="4680"/>
        <w:tab w:val="right" w:pos="9360"/>
      </w:tabs>
      <w:spacing w:line="240" w:lineRule="auto"/>
    </w:pPr>
  </w:style>
  <w:style w:type="character" w:styleId="FooterChar" w:customStyle="1">
    <w:name w:val="Footer Char"/>
    <w:basedOn w:val="DefaultParagraphFont"/>
    <w:link w:val="Footer"/>
    <w:uiPriority w:val="99"/>
    <w:rsid w:val="003E0F40"/>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2" Type="http://schemas.openxmlformats.org/officeDocument/2006/relationships/image" Target="media/image4.png"/><Relationship Id="rId21" Type="http://schemas.openxmlformats.org/officeDocument/2006/relationships/image" Target="media/image3.png"/><Relationship Id="rId24" Type="http://schemas.openxmlformats.org/officeDocument/2006/relationships/image" Target="media/image5.jpg"/><Relationship Id="rId23" Type="http://schemas.openxmlformats.org/officeDocument/2006/relationships/hyperlink" Target="https://amzn.to/2Y4Ra8Y"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zazzle.com/dr_seuss_one_fish_two_fish_pattern_wrapping_paper-256062844706319752?rf=238840279726397180&amp;tc=CjwKCAjw1ej5BRBhEiwAfHyh1DpZUpFm3NiHu97pctUXS_JiI_ny3Lq-APUZi4tW5r3vOsGqlL_FvxoCNPoQAvD_BwE&amp;utm_source=google&amp;utm_medium=cpc&amp;utm_campaign=us_shopping&amp;utm_term=z256062844706319752&amp;ca_chid=2001810&amp;ca_source=gaw&amp;ca_ace=&amp;ca_nw=g&amp;ca_dev=c&amp;ca_pl=&amp;ca_pos=&amp;ca_cid=382282576472&amp;ca_agid=82099088070&amp;ca_caid=6501140357&amp;ca_adid=382282576472&amp;ca_kwt=&amp;ca_mt=&amp;ca_fid=&amp;ca_tid=pla-307375741865&amp;ca_lp=1024543&amp;ca_li=&amp;ca_devm=&amp;ca_plt=&amp;gclsrc=aw.ds&amp;gclid=CjwKCAjw1ej5BRBhEiwAfHyh1DpZUpFm3NiHu97pctUXS_JiI_ny3Lq-APUZi4tW5r3vOsGqlL_FvxoCNPoQAvD_BwE" TargetMode="External"/><Relationship Id="rId26" Type="http://schemas.openxmlformats.org/officeDocument/2006/relationships/header" Target="header3.xml"/><Relationship Id="rId25" Type="http://schemas.openxmlformats.org/officeDocument/2006/relationships/header" Target="header1.xml"/><Relationship Id="rId28" Type="http://schemas.openxmlformats.org/officeDocument/2006/relationships/footer" Target="footer3.xml"/><Relationship Id="rId27"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footer" Target="footer2.xml"/><Relationship Id="rId7" Type="http://schemas.openxmlformats.org/officeDocument/2006/relationships/hyperlink" Target="https://amzn.to/3112J2Z" TargetMode="External"/><Relationship Id="rId8" Type="http://schemas.openxmlformats.org/officeDocument/2006/relationships/image" Target="media/image1.jpg"/><Relationship Id="rId30" Type="http://schemas.openxmlformats.org/officeDocument/2006/relationships/footer" Target="footer1.xml"/><Relationship Id="rId11" Type="http://schemas.openxmlformats.org/officeDocument/2006/relationships/hyperlink" Target="https://www.amazon.com/Paper-Cups-White-Coffee-Water/dp/B076B27ZHS/ref=sr_1_2?dchild=1&amp;keywords=paper+cups+50&amp;qid=1597906657&amp;sr=8-2" TargetMode="External"/><Relationship Id="rId10" Type="http://schemas.openxmlformats.org/officeDocument/2006/relationships/image" Target="media/image9.png"/><Relationship Id="rId13" Type="http://schemas.openxmlformats.org/officeDocument/2006/relationships/hyperlink" Target="https://bit.ly/3arpsIy" TargetMode="External"/><Relationship Id="rId12" Type="http://schemas.openxmlformats.org/officeDocument/2006/relationships/image" Target="media/image2.jpg"/><Relationship Id="rId15" Type="http://schemas.openxmlformats.org/officeDocument/2006/relationships/hyperlink" Target="https://www.iconwallstickers.co.uk/the-more-you-read-dr-seuss-quote-wall-sticker?___store=iconwallstickers_row" TargetMode="External"/><Relationship Id="rId14" Type="http://schemas.openxmlformats.org/officeDocument/2006/relationships/hyperlink" Target="https://bit.ly/31YsYX9" TargetMode="External"/><Relationship Id="rId17" Type="http://schemas.openxmlformats.org/officeDocument/2006/relationships/hyperlink" Target="https://www.wholesalepartysupplies.com/products/dr-seuss-oh-the-places-youll-go-banner?via=Z2lkOi8vYnV5LXNlYXNvbnMvV29ya2FyZWE6OkNhdGFsb2c6OkNhdGVnb3J5LzU3NTliMTMxNjk3MDJkMzlkYTAwMDdiYQ" TargetMode="External"/><Relationship Id="rId16" Type="http://schemas.openxmlformats.org/officeDocument/2006/relationships/hyperlink" Target="https://www.orientaltrading.com/dr--seuss-reading-door-decorating-kit-a2-13912096.fltr?sku=13912096&amp;BP=PS544&amp;ms=search&amp;source=google&amp;cm_mmc=GooglePLA-_-1398795105-_-58038632107-_-13912096&amp;cm_mmca1=OTC%2BPLAs&amp;cm_mmca2=GooglePLAs&amp;cm_mmca3=PS544&amp;cm_mmca4=FS39&amp;cm_mmca5=Shopping&amp;cm_mmca6=PLAs&amp;cm_mmc10=Shopping&amp;cm_mmca11=13912096&amp;cm_mmca12=Dr.-Seuss%28TM%29-Reading-Door-Decorating-Kit&amp;gclid=Cj0KCQjwsuP5BRCoARIsAPtX_wEaSidpzPFyow4CH_FRORBHsV-cmvn08iHzi_21rVl7Z49d62358wAaAizlEALw_wcB" TargetMode="External"/><Relationship Id="rId19" Type="http://schemas.openxmlformats.org/officeDocument/2006/relationships/image" Target="media/image8.png"/><Relationship Id="rId18"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0SavcjO4UaZ3wJV9oNkcY/sUBOA==">AMUW2mU7UOss/dhQtipXRY+HlbOFLgP24/sWqqEmY7PfSgiQ8Ql35csko93BFUmJLtbUXls8tn34yk6OTcg9XCTZ/7oW6cFHQ9oFUBauf9gZi1Wt7SO7AdU=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2020-08-20T10:03:00Z</dcterms:created>
</cp:coreProperties>
</file>